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333E04" w14:textId="56E9F428" w:rsidR="00011F23" w:rsidRPr="00011F23" w:rsidRDefault="00011F23" w:rsidP="00011F23">
      <w:pPr>
        <w:pStyle w:val="Ttulo2"/>
        <w:rPr>
          <w:rFonts w:ascii="Times New Roman" w:hAnsi="Times New Roman" w:cs="Times New Roman"/>
          <w:b/>
          <w:bCs/>
          <w:color w:val="auto"/>
          <w:sz w:val="26"/>
          <w:szCs w:val="26"/>
        </w:rPr>
      </w:pPr>
      <w:bookmarkStart w:id="0" w:name="_Toc159750456"/>
      <w:r w:rsidRPr="00011F23">
        <w:rPr>
          <w:rFonts w:ascii="Times New Roman" w:hAnsi="Times New Roman" w:cs="Times New Roman"/>
          <w:b/>
          <w:bCs/>
          <w:color w:val="auto"/>
          <w:sz w:val="26"/>
          <w:szCs w:val="26"/>
        </w:rPr>
        <w:t>Profundización anatomía de Antebrazo, Muñeca y Mano</w:t>
      </w:r>
      <w:bookmarkEnd w:id="0"/>
    </w:p>
    <w:p w14:paraId="4419892B" w14:textId="77777777" w:rsidR="00011F23" w:rsidRPr="00011F23" w:rsidRDefault="00011F23" w:rsidP="00011F23"/>
    <w:p w14:paraId="28DF17CA"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El miembro superior del cuerpo humano es una región anatómica altamente compleja. Este conjunto incluye el brazo, el antebrazo y la mano, y desempeña un papel fundamental en la realización de actividades motoras finas que implican una coordinación excepcional entre una variedad de componentes, como huesos, articulaciones, músculos, nervios y vasos sanguíneos.</w:t>
      </w:r>
    </w:p>
    <w:p w14:paraId="11A06F49" w14:textId="59099E4E" w:rsidR="00011F23" w:rsidRPr="006403F3" w:rsidRDefault="00011F23" w:rsidP="00011F23">
      <w:pPr>
        <w:pStyle w:val="Ttulo5"/>
        <w:rPr>
          <w:rFonts w:ascii="Times New Roman" w:hAnsi="Times New Roman" w:cs="Times New Roman"/>
          <w:b/>
          <w:bCs/>
          <w:color w:val="auto"/>
          <w:sz w:val="24"/>
          <w:szCs w:val="24"/>
        </w:rPr>
      </w:pPr>
      <w:bookmarkStart w:id="1" w:name="_Toc159575856"/>
      <w:r w:rsidRPr="006403F3">
        <w:rPr>
          <w:rFonts w:ascii="Times New Roman" w:hAnsi="Times New Roman" w:cs="Times New Roman"/>
          <w:b/>
          <w:bCs/>
          <w:color w:val="auto"/>
          <w:sz w:val="24"/>
          <w:szCs w:val="24"/>
        </w:rPr>
        <w:t xml:space="preserve">Figura </w:t>
      </w:r>
      <w:bookmarkEnd w:id="1"/>
      <w:r>
        <w:rPr>
          <w:rFonts w:ascii="Times New Roman" w:hAnsi="Times New Roman" w:cs="Times New Roman"/>
          <w:b/>
          <w:bCs/>
          <w:color w:val="auto"/>
          <w:sz w:val="24"/>
          <w:szCs w:val="24"/>
        </w:rPr>
        <w:t>1</w:t>
      </w:r>
    </w:p>
    <w:p w14:paraId="52DA0142"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Regiones miembro superior</w:t>
      </w:r>
    </w:p>
    <w:p w14:paraId="4907D810" w14:textId="77777777" w:rsidR="00011F2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noProof/>
          <w:sz w:val="24"/>
          <w:szCs w:val="24"/>
        </w:rPr>
        <w:drawing>
          <wp:inline distT="0" distB="0" distL="0" distR="0" wp14:anchorId="1336DA2A" wp14:editId="240CF126">
            <wp:extent cx="4149459" cy="1885950"/>
            <wp:effectExtent l="0" t="0" r="3810" b="0"/>
            <wp:docPr id="19395936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361359" name=""/>
                    <pic:cNvPicPr/>
                  </pic:nvPicPr>
                  <pic:blipFill rotWithShape="1">
                    <a:blip r:embed="rId5"/>
                    <a:srcRect t="10150" b="10199"/>
                    <a:stretch/>
                  </pic:blipFill>
                  <pic:spPr bwMode="auto">
                    <a:xfrm>
                      <a:off x="0" y="0"/>
                      <a:ext cx="4156223" cy="1889024"/>
                    </a:xfrm>
                    <a:prstGeom prst="rect">
                      <a:avLst/>
                    </a:prstGeom>
                    <a:ln>
                      <a:noFill/>
                    </a:ln>
                    <a:extLst>
                      <a:ext uri="{53640926-AAD7-44D8-BBD7-CCE9431645EC}">
                        <a14:shadowObscured xmlns:a14="http://schemas.microsoft.com/office/drawing/2010/main"/>
                      </a:ext>
                    </a:extLst>
                  </pic:spPr>
                </pic:pic>
              </a:graphicData>
            </a:graphic>
          </wp:inline>
        </w:drawing>
      </w:r>
    </w:p>
    <w:p w14:paraId="1541691D" w14:textId="7544962A" w:rsidR="00011F23" w:rsidRPr="006403F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Editado de: Cuerpo humano, 2023, Significados</w:t>
      </w:r>
      <w:r>
        <w:rPr>
          <w:rFonts w:ascii="Times New Roman" w:hAnsi="Times New Roman" w:cs="Times New Roman"/>
          <w:sz w:val="24"/>
          <w:szCs w:val="24"/>
        </w:rPr>
        <w:t xml:space="preserve"> </w:t>
      </w:r>
      <w:r w:rsidRPr="006403F3">
        <w:rPr>
          <w:rFonts w:ascii="Times New Roman" w:hAnsi="Times New Roman" w:cs="Times New Roman"/>
          <w:sz w:val="24"/>
          <w:szCs w:val="24"/>
        </w:rPr>
        <w:t>(https://www.significados.com/cuerpo-humano/</w:t>
      </w:r>
      <w:r>
        <w:rPr>
          <w:rFonts w:ascii="Times New Roman" w:hAnsi="Times New Roman" w:cs="Times New Roman"/>
          <w:sz w:val="24"/>
          <w:szCs w:val="24"/>
        </w:rPr>
        <w:t>)</w:t>
      </w:r>
    </w:p>
    <w:p w14:paraId="096A325D"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Una de las regiones más destacadas del miembro superior es la mano, que se distingue por su extraordinaria capacidad para la precisión y la destreza. Esto se debe en gran medida a la presencia del pulgar oponible, un aspecto distintivo de los seres humanos en comparación con otras especies. El pulgar oponible permite que la mano pueda realizar acciones complejas, como la prensión y la manipulación de objetos de forma precisa </w:t>
      </w:r>
      <w:sdt>
        <w:sdtPr>
          <w:rPr>
            <w:rFonts w:ascii="Times New Roman" w:hAnsi="Times New Roman" w:cs="Times New Roman"/>
            <w:sz w:val="24"/>
            <w:szCs w:val="24"/>
          </w:rPr>
          <w:id w:val="-216977023"/>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p w14:paraId="4A1ACF6F" w14:textId="77777777" w:rsidR="00011F23" w:rsidRPr="00011F23" w:rsidRDefault="00011F23" w:rsidP="00011F23">
      <w:pPr>
        <w:rPr>
          <w:rFonts w:ascii="Times New Roman" w:hAnsi="Times New Roman" w:cs="Times New Roman"/>
          <w:b/>
          <w:sz w:val="26"/>
          <w:szCs w:val="26"/>
        </w:rPr>
      </w:pPr>
      <w:bookmarkStart w:id="2" w:name="_Toc159750458"/>
      <w:r w:rsidRPr="00011F23">
        <w:rPr>
          <w:rFonts w:ascii="Times New Roman" w:hAnsi="Times New Roman" w:cs="Times New Roman"/>
          <w:b/>
          <w:iCs/>
          <w:sz w:val="26"/>
          <w:szCs w:val="26"/>
        </w:rPr>
        <w:t xml:space="preserve">Huesos y </w:t>
      </w:r>
      <w:r w:rsidRPr="00011F23">
        <w:rPr>
          <w:rFonts w:ascii="Times New Roman" w:hAnsi="Times New Roman" w:cs="Times New Roman"/>
          <w:b/>
          <w:sz w:val="26"/>
          <w:szCs w:val="26"/>
        </w:rPr>
        <w:t>Articulaciones</w:t>
      </w:r>
      <w:bookmarkEnd w:id="2"/>
      <w:r w:rsidRPr="00011F23">
        <w:rPr>
          <w:rFonts w:ascii="Times New Roman" w:hAnsi="Times New Roman" w:cs="Times New Roman"/>
          <w:b/>
          <w:sz w:val="26"/>
          <w:szCs w:val="26"/>
        </w:rPr>
        <w:t xml:space="preserve">: </w:t>
      </w:r>
    </w:p>
    <w:p w14:paraId="0194B144"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lastRenderedPageBreak/>
        <w:t xml:space="preserve">En cuanto a las estructuras óseas a nivel de antebrazo se encuentra el cúbito y el radio, huesos largos que a nivel proximal (más cercano al tronco) interactúan formando la articulación radio cubital proximal que permite que el radio pivote (rote) alrededor del cúbito generando los movimientos de pronosupinación (rotación del antebrazo) cuando el codo se encuentra en flexión (ver figura 2 y 3) </w:t>
      </w:r>
      <w:sdt>
        <w:sdtPr>
          <w:rPr>
            <w:rFonts w:ascii="Times New Roman" w:hAnsi="Times New Roman" w:cs="Times New Roman"/>
            <w:sz w:val="24"/>
            <w:szCs w:val="24"/>
          </w:rPr>
          <w:id w:val="2123575585"/>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p w14:paraId="40612C4F" w14:textId="6D36AD0F" w:rsidR="00011F23" w:rsidRPr="006403F3" w:rsidRDefault="00011F23" w:rsidP="00011F23">
      <w:pPr>
        <w:pStyle w:val="Ttulo5"/>
        <w:rPr>
          <w:rFonts w:ascii="Times New Roman" w:hAnsi="Times New Roman" w:cs="Times New Roman"/>
          <w:b/>
          <w:bCs/>
          <w:color w:val="auto"/>
          <w:sz w:val="24"/>
          <w:szCs w:val="24"/>
        </w:rPr>
      </w:pPr>
      <w:bookmarkStart w:id="3" w:name="_Toc159575857"/>
      <w:r w:rsidRPr="006403F3">
        <w:rPr>
          <w:rFonts w:ascii="Times New Roman" w:hAnsi="Times New Roman" w:cs="Times New Roman"/>
          <w:b/>
          <w:bCs/>
          <w:color w:val="auto"/>
          <w:sz w:val="24"/>
          <w:szCs w:val="24"/>
        </w:rPr>
        <w:t>Figura</w:t>
      </w:r>
      <w:bookmarkEnd w:id="3"/>
      <w:r w:rsidRPr="006403F3">
        <w:rPr>
          <w:rFonts w:ascii="Times New Roman" w:hAnsi="Times New Roman" w:cs="Times New Roman"/>
          <w:b/>
          <w:bCs/>
          <w:color w:val="auto"/>
          <w:sz w:val="24"/>
          <w:szCs w:val="24"/>
        </w:rPr>
        <w:t xml:space="preserve"> </w:t>
      </w:r>
      <w:r>
        <w:rPr>
          <w:rFonts w:ascii="Times New Roman" w:hAnsi="Times New Roman" w:cs="Times New Roman"/>
          <w:b/>
          <w:bCs/>
          <w:color w:val="auto"/>
          <w:sz w:val="24"/>
          <w:szCs w:val="24"/>
        </w:rPr>
        <w:t>2</w:t>
      </w:r>
    </w:p>
    <w:p w14:paraId="6AEDABCA"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Huesos del miembro superior</w:t>
      </w:r>
    </w:p>
    <w:p w14:paraId="3AE44890"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b/>
          <w:bCs/>
          <w:noProof/>
          <w:bdr w:val="none" w:sz="0" w:space="0" w:color="auto" w:frame="1"/>
        </w:rPr>
        <w:drawing>
          <wp:inline distT="0" distB="0" distL="0" distR="0" wp14:anchorId="7D3F540B" wp14:editId="5DAE5ED5">
            <wp:extent cx="4967224" cy="4362450"/>
            <wp:effectExtent l="0" t="0" r="0" b="0"/>
            <wp:docPr id="1653978543" name="Imagen 165397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5753" r="6805" b="751"/>
                    <a:stretch/>
                  </pic:blipFill>
                  <pic:spPr bwMode="auto">
                    <a:xfrm>
                      <a:off x="0" y="0"/>
                      <a:ext cx="4973918" cy="4368329"/>
                    </a:xfrm>
                    <a:prstGeom prst="rect">
                      <a:avLst/>
                    </a:prstGeom>
                    <a:noFill/>
                    <a:ln>
                      <a:noFill/>
                    </a:ln>
                    <a:extLst>
                      <a:ext uri="{53640926-AAD7-44D8-BBD7-CCE9431645EC}">
                        <a14:shadowObscured xmlns:a14="http://schemas.microsoft.com/office/drawing/2010/main"/>
                      </a:ext>
                    </a:extLst>
                  </pic:spPr>
                </pic:pic>
              </a:graphicData>
            </a:graphic>
          </wp:inline>
        </w:drawing>
      </w:r>
    </w:p>
    <w:p w14:paraId="62C0909B"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Adaptado de </w:t>
      </w:r>
      <w:r w:rsidRPr="006403F3">
        <w:rPr>
          <w:rFonts w:ascii="Times New Roman" w:hAnsi="Times New Roman" w:cs="Times New Roman"/>
          <w:i/>
          <w:iCs/>
          <w:sz w:val="24"/>
          <w:szCs w:val="24"/>
        </w:rPr>
        <w:t>Extremidades superiores</w:t>
      </w:r>
      <w:r w:rsidRPr="006403F3">
        <w:rPr>
          <w:rFonts w:ascii="Times New Roman" w:hAnsi="Times New Roman" w:cs="Times New Roman"/>
          <w:sz w:val="24"/>
          <w:szCs w:val="24"/>
        </w:rPr>
        <w:t>, 2008, Wikipedia (https://es.wikipedia.org/wiki/Miembro_superior#).</w:t>
      </w:r>
    </w:p>
    <w:p w14:paraId="1078716A" w14:textId="77777777" w:rsidR="00011F23" w:rsidRPr="006403F3" w:rsidRDefault="00011F23" w:rsidP="00011F23">
      <w:pPr>
        <w:pStyle w:val="Ttulo5"/>
        <w:rPr>
          <w:rFonts w:ascii="Times New Roman" w:hAnsi="Times New Roman" w:cs="Times New Roman"/>
          <w:b/>
          <w:bCs/>
          <w:i/>
          <w:iCs/>
          <w:color w:val="auto"/>
          <w:sz w:val="24"/>
          <w:szCs w:val="24"/>
        </w:rPr>
      </w:pPr>
      <w:bookmarkStart w:id="4" w:name="_Toc159575858"/>
      <w:r w:rsidRPr="006403F3">
        <w:rPr>
          <w:rFonts w:ascii="Times New Roman" w:hAnsi="Times New Roman" w:cs="Times New Roman"/>
          <w:b/>
          <w:bCs/>
          <w:color w:val="auto"/>
          <w:sz w:val="24"/>
          <w:szCs w:val="24"/>
        </w:rPr>
        <w:lastRenderedPageBreak/>
        <w:t>Figura 3</w:t>
      </w:r>
      <w:bookmarkEnd w:id="4"/>
    </w:p>
    <w:p w14:paraId="77A3A095"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Movimientos del antebrazo</w:t>
      </w:r>
    </w:p>
    <w:p w14:paraId="5B54735B"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b/>
          <w:bCs/>
          <w:noProof/>
          <w:bdr w:val="none" w:sz="0" w:space="0" w:color="auto" w:frame="1"/>
        </w:rPr>
        <w:drawing>
          <wp:inline distT="0" distB="0" distL="0" distR="0" wp14:anchorId="5FFE55E4" wp14:editId="2DC80549">
            <wp:extent cx="4057650" cy="1831577"/>
            <wp:effectExtent l="0" t="0" r="0" b="0"/>
            <wp:docPr id="1256616288" name="Imagen 1256616288" descr="Un dibujo animado con let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44155" name="Imagen 3" descr="Un dibujo animado con letras&#10;&#10;Descripción generada automáticamente con confianza medi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97650" cy="1849632"/>
                    </a:xfrm>
                    <a:prstGeom prst="rect">
                      <a:avLst/>
                    </a:prstGeom>
                    <a:noFill/>
                    <a:ln>
                      <a:noFill/>
                    </a:ln>
                  </pic:spPr>
                </pic:pic>
              </a:graphicData>
            </a:graphic>
          </wp:inline>
        </w:drawing>
      </w:r>
    </w:p>
    <w:p w14:paraId="51DA5462"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De izquierda a derecha, un brazo humano en posición de supinación, neutra y de pronación, 2012, </w:t>
      </w:r>
      <w:proofErr w:type="spellStart"/>
      <w:r w:rsidRPr="006403F3">
        <w:rPr>
          <w:rFonts w:ascii="Times New Roman" w:hAnsi="Times New Roman" w:cs="Times New Roman"/>
          <w:sz w:val="24"/>
          <w:szCs w:val="24"/>
        </w:rPr>
        <w:t>UABDivulga</w:t>
      </w:r>
      <w:proofErr w:type="spellEnd"/>
      <w:r w:rsidRPr="006403F3">
        <w:rPr>
          <w:rFonts w:ascii="Times New Roman" w:hAnsi="Times New Roman" w:cs="Times New Roman"/>
          <w:sz w:val="24"/>
          <w:szCs w:val="24"/>
        </w:rPr>
        <w:t xml:space="preserve"> (https://www.uab.cat/web/detalle-noticia/los-humanos-mas-eficientes-al-coger-objetos-1345680342040.html?articleId=1345644713355).</w:t>
      </w:r>
    </w:p>
    <w:p w14:paraId="3FE403C6"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La muñeca está formada por ocho huesos que se encargan de generar flexibilidad a esta porción de la extremidad, se encuentran dispuestos en dos filas de cuatro huesos cada una, la primera fila conformada por escafoides, semilunar, piramidal, pisiforme y la segunda por trapecio, trapezoide, capitado y ganchoso. Estos últimos cuatro se articulan con los metacarpianos que son la porción intermedia entre la muñeca y las falanges (dedos), consta de 5 huesos que interaccionan con falanges proximales, cada dedo está formado por 3 falanges (proximal, media y distal) a excepción del pulgar que solo presenta 2 falanges (no cuenta con falange media) (ver figura 4) </w:t>
      </w:r>
      <w:sdt>
        <w:sdtPr>
          <w:rPr>
            <w:rFonts w:ascii="Times New Roman" w:hAnsi="Times New Roman" w:cs="Times New Roman"/>
            <w:sz w:val="24"/>
            <w:szCs w:val="24"/>
          </w:rPr>
          <w:id w:val="97144905"/>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p w14:paraId="2971AA68" w14:textId="77777777" w:rsidR="00011F23" w:rsidRPr="006403F3" w:rsidRDefault="00011F23" w:rsidP="00011F23">
      <w:pPr>
        <w:pStyle w:val="Ttulo5"/>
        <w:rPr>
          <w:rFonts w:ascii="Times New Roman" w:hAnsi="Times New Roman" w:cs="Times New Roman"/>
          <w:b/>
          <w:bCs/>
          <w:i/>
          <w:iCs/>
          <w:color w:val="auto"/>
          <w:sz w:val="24"/>
          <w:szCs w:val="24"/>
        </w:rPr>
      </w:pPr>
      <w:bookmarkStart w:id="5" w:name="_Toc159575859"/>
      <w:r w:rsidRPr="006403F3">
        <w:rPr>
          <w:rFonts w:ascii="Times New Roman" w:hAnsi="Times New Roman" w:cs="Times New Roman"/>
          <w:b/>
          <w:bCs/>
          <w:color w:val="auto"/>
          <w:sz w:val="24"/>
          <w:szCs w:val="24"/>
        </w:rPr>
        <w:t>Figura 4</w:t>
      </w:r>
      <w:bookmarkEnd w:id="5"/>
    </w:p>
    <w:p w14:paraId="08A32BB4"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Huesos de la mano</w:t>
      </w:r>
    </w:p>
    <w:p w14:paraId="76D05CA6"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noProof/>
          <w:bdr w:val="none" w:sz="0" w:space="0" w:color="auto" w:frame="1"/>
        </w:rPr>
        <w:lastRenderedPageBreak/>
        <w:drawing>
          <wp:inline distT="0" distB="0" distL="0" distR="0" wp14:anchorId="060DB9B3" wp14:editId="41626DBF">
            <wp:extent cx="4213536" cy="3790950"/>
            <wp:effectExtent l="0" t="0" r="0" b="0"/>
            <wp:docPr id="1158717662" name="Imagen 115871766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34847" name="Imagen 4" descr="Diagrama&#10;&#10;Descripción generada automáticamente"/>
                    <pic:cNvPicPr>
                      <a:picLocks noChangeAspect="1" noChangeArrowheads="1"/>
                    </pic:cNvPicPr>
                  </pic:nvPicPr>
                  <pic:blipFill rotWithShape="1">
                    <a:blip r:embed="rId8">
                      <a:extLst>
                        <a:ext uri="{28A0092B-C50C-407E-A947-70E740481C1C}">
                          <a14:useLocalDpi xmlns:a14="http://schemas.microsoft.com/office/drawing/2010/main" val="0"/>
                        </a:ext>
                      </a:extLst>
                    </a:blip>
                    <a:srcRect b="17552"/>
                    <a:stretch/>
                  </pic:blipFill>
                  <pic:spPr bwMode="auto">
                    <a:xfrm>
                      <a:off x="0" y="0"/>
                      <a:ext cx="4221315" cy="3797948"/>
                    </a:xfrm>
                    <a:prstGeom prst="rect">
                      <a:avLst/>
                    </a:prstGeom>
                    <a:noFill/>
                    <a:ln>
                      <a:noFill/>
                    </a:ln>
                    <a:extLst>
                      <a:ext uri="{53640926-AAD7-44D8-BBD7-CCE9431645EC}">
                        <a14:shadowObscured xmlns:a14="http://schemas.microsoft.com/office/drawing/2010/main"/>
                      </a:ext>
                    </a:extLst>
                  </pic:spPr>
                </pic:pic>
              </a:graphicData>
            </a:graphic>
          </wp:inline>
        </w:drawing>
      </w:r>
    </w:p>
    <w:p w14:paraId="327F385A" w14:textId="77777777" w:rsidR="00011F23" w:rsidRPr="006403F3" w:rsidRDefault="00011F23" w:rsidP="00011F23">
      <w:pPr>
        <w:spacing w:before="120" w:after="120" w:line="480" w:lineRule="auto"/>
        <w:jc w:val="center"/>
        <w:rPr>
          <w:rFonts w:ascii="Times New Roman" w:hAnsi="Times New Roman" w:cs="Times New Roman"/>
          <w:sz w:val="24"/>
          <w:szCs w:val="24"/>
          <w:lang w:val="en-US"/>
        </w:rPr>
      </w:pPr>
      <w:r w:rsidRPr="006403F3">
        <w:rPr>
          <w:rFonts w:ascii="Times New Roman" w:hAnsi="Times New Roman" w:cs="Times New Roman"/>
          <w:i/>
          <w:sz w:val="24"/>
          <w:szCs w:val="24"/>
          <w:lang w:val="en-US"/>
        </w:rPr>
        <w:t>Nota.</w:t>
      </w:r>
      <w:r w:rsidRPr="006403F3">
        <w:rPr>
          <w:rFonts w:ascii="Times New Roman" w:hAnsi="Times New Roman" w:cs="Times New Roman"/>
          <w:sz w:val="24"/>
          <w:szCs w:val="24"/>
          <w:lang w:val="en-US"/>
        </w:rPr>
        <w:t xml:space="preserve"> </w:t>
      </w:r>
      <w:proofErr w:type="spellStart"/>
      <w:r w:rsidRPr="006403F3">
        <w:rPr>
          <w:rFonts w:ascii="Times New Roman" w:hAnsi="Times New Roman" w:cs="Times New Roman"/>
          <w:sz w:val="24"/>
          <w:szCs w:val="24"/>
          <w:lang w:val="en-US"/>
        </w:rPr>
        <w:t>Adaptado</w:t>
      </w:r>
      <w:proofErr w:type="spellEnd"/>
      <w:r w:rsidRPr="006403F3">
        <w:rPr>
          <w:rFonts w:ascii="Times New Roman" w:hAnsi="Times New Roman" w:cs="Times New Roman"/>
          <w:sz w:val="24"/>
          <w:szCs w:val="24"/>
          <w:lang w:val="en-US"/>
        </w:rPr>
        <w:t xml:space="preserve"> de </w:t>
      </w:r>
      <w:r w:rsidRPr="006403F3">
        <w:rPr>
          <w:rFonts w:ascii="Times New Roman" w:hAnsi="Times New Roman" w:cs="Times New Roman"/>
          <w:i/>
          <w:sz w:val="24"/>
          <w:szCs w:val="24"/>
          <w:lang w:val="en-US"/>
        </w:rPr>
        <w:t>Bones of the hand and the wrist</w:t>
      </w:r>
      <w:r w:rsidRPr="006403F3">
        <w:rPr>
          <w:rFonts w:ascii="Times New Roman" w:hAnsi="Times New Roman" w:cs="Times New Roman"/>
          <w:sz w:val="24"/>
          <w:szCs w:val="24"/>
          <w:lang w:val="en-US"/>
        </w:rPr>
        <w:t>, 2023, UpToDate (https://www.uptodate.com/contents/history-and-examination-of-the-adult-with-hand-pain?search=hand&amp;sectionRank=2&amp;usage_type=default&amp;anchor=H2&amp;source=machineLearning&amp;selectedTitle=1~150&amp;display_rank=1#H2).</w:t>
      </w:r>
    </w:p>
    <w:p w14:paraId="2E86DFA2" w14:textId="04CBC0FE" w:rsidR="00011F23" w:rsidRPr="00011F23" w:rsidRDefault="00011F23" w:rsidP="00011F23">
      <w:pPr>
        <w:rPr>
          <w:rFonts w:ascii="Times New Roman" w:hAnsi="Times New Roman" w:cs="Times New Roman"/>
          <w:b/>
          <w:sz w:val="26"/>
          <w:szCs w:val="26"/>
        </w:rPr>
      </w:pPr>
      <w:r>
        <w:rPr>
          <w:rFonts w:ascii="Times New Roman" w:hAnsi="Times New Roman" w:cs="Times New Roman"/>
          <w:b/>
          <w:iCs/>
          <w:sz w:val="26"/>
          <w:szCs w:val="26"/>
        </w:rPr>
        <w:t>Músculos</w:t>
      </w:r>
      <w:r w:rsidRPr="00011F23">
        <w:rPr>
          <w:rFonts w:ascii="Times New Roman" w:hAnsi="Times New Roman" w:cs="Times New Roman"/>
          <w:b/>
          <w:sz w:val="26"/>
          <w:szCs w:val="26"/>
        </w:rPr>
        <w:t xml:space="preserve">: </w:t>
      </w:r>
    </w:p>
    <w:p w14:paraId="364A1419"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A nivel muscular el antebrazo se compone de dos grupos (compartimentos): anteriores y posteriores, los músculos del compartimiento anterior se localizan en una posición antero medial, es decir, hacia adelante y al costado interno del antebrazo, estos músculos se caracterizan por cumplir la función de flexión en la muñeca y los dedos, además de facilitar la pronación del </w:t>
      </w:r>
    </w:p>
    <w:p w14:paraId="52F1D760"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antebrazo (rotación de la mano de afuera hacia adentro) que es necesario para posicionar la mano al manipular objetos de manera efectiva (ver figura 5) </w:t>
      </w:r>
      <w:sdt>
        <w:sdtPr>
          <w:rPr>
            <w:rFonts w:ascii="Times New Roman" w:hAnsi="Times New Roman" w:cs="Times New Roman"/>
            <w:sz w:val="24"/>
            <w:szCs w:val="24"/>
          </w:rPr>
          <w:id w:val="1511489612"/>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p w14:paraId="22E064FA" w14:textId="77777777" w:rsidR="00011F23" w:rsidRPr="006403F3" w:rsidRDefault="00011F23" w:rsidP="00011F23">
      <w:pPr>
        <w:pStyle w:val="Ttulo5"/>
        <w:rPr>
          <w:rFonts w:ascii="Times New Roman" w:hAnsi="Times New Roman" w:cs="Times New Roman"/>
          <w:b/>
          <w:bCs/>
          <w:i/>
          <w:iCs/>
          <w:color w:val="auto"/>
          <w:sz w:val="24"/>
          <w:szCs w:val="24"/>
        </w:rPr>
      </w:pPr>
      <w:bookmarkStart w:id="6" w:name="_Toc159575860"/>
      <w:r w:rsidRPr="006403F3">
        <w:rPr>
          <w:rFonts w:ascii="Times New Roman" w:hAnsi="Times New Roman" w:cs="Times New Roman"/>
          <w:b/>
          <w:bCs/>
          <w:color w:val="auto"/>
          <w:sz w:val="24"/>
          <w:szCs w:val="24"/>
        </w:rPr>
        <w:lastRenderedPageBreak/>
        <w:t>Figura 5</w:t>
      </w:r>
      <w:bookmarkEnd w:id="6"/>
    </w:p>
    <w:p w14:paraId="158EA244"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Compartimento anterior del antebrazo</w:t>
      </w:r>
    </w:p>
    <w:p w14:paraId="1BF3BD35"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b/>
          <w:bCs/>
          <w:noProof/>
          <w:bdr w:val="none" w:sz="0" w:space="0" w:color="auto" w:frame="1"/>
        </w:rPr>
        <w:drawing>
          <wp:inline distT="0" distB="0" distL="0" distR="0" wp14:anchorId="3E006974" wp14:editId="0D88FC8E">
            <wp:extent cx="5765184" cy="3267075"/>
            <wp:effectExtent l="0" t="0" r="6985" b="0"/>
            <wp:docPr id="1778993237" name="Imagen 177899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
                      <a:extLst>
                        <a:ext uri="{28A0092B-C50C-407E-A947-70E740481C1C}">
                          <a14:useLocalDpi xmlns:a14="http://schemas.microsoft.com/office/drawing/2010/main" val="0"/>
                        </a:ext>
                      </a:extLst>
                    </a:blip>
                    <a:srcRect t="8303" b="3997"/>
                    <a:stretch/>
                  </pic:blipFill>
                  <pic:spPr bwMode="auto">
                    <a:xfrm>
                      <a:off x="0" y="0"/>
                      <a:ext cx="5767221" cy="3268229"/>
                    </a:xfrm>
                    <a:prstGeom prst="rect">
                      <a:avLst/>
                    </a:prstGeom>
                    <a:noFill/>
                    <a:ln>
                      <a:noFill/>
                    </a:ln>
                    <a:extLst>
                      <a:ext uri="{53640926-AAD7-44D8-BBD7-CCE9431645EC}">
                        <a14:shadowObscured xmlns:a14="http://schemas.microsoft.com/office/drawing/2010/main"/>
                      </a:ext>
                    </a:extLst>
                  </pic:spPr>
                </pic:pic>
              </a:graphicData>
            </a:graphic>
          </wp:inline>
        </w:drawing>
      </w:r>
    </w:p>
    <w:p w14:paraId="70AE5E10"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Adaptado de </w:t>
      </w:r>
      <w:r w:rsidRPr="006403F3">
        <w:rPr>
          <w:rFonts w:ascii="Times New Roman" w:hAnsi="Times New Roman" w:cs="Times New Roman"/>
          <w:i/>
          <w:iCs/>
          <w:sz w:val="24"/>
          <w:szCs w:val="24"/>
        </w:rPr>
        <w:t>Anatomía con orientación clínica</w:t>
      </w:r>
      <w:r w:rsidRPr="006403F3">
        <w:rPr>
          <w:rFonts w:ascii="Times New Roman" w:hAnsi="Times New Roman" w:cs="Times New Roman"/>
          <w:sz w:val="24"/>
          <w:szCs w:val="24"/>
        </w:rPr>
        <w:t xml:space="preserve">, K.L. Moore, 2013, Wolters </w:t>
      </w:r>
      <w:proofErr w:type="spellStart"/>
      <w:r w:rsidRPr="006403F3">
        <w:rPr>
          <w:rFonts w:ascii="Times New Roman" w:hAnsi="Times New Roman" w:cs="Times New Roman"/>
          <w:sz w:val="24"/>
          <w:szCs w:val="24"/>
        </w:rPr>
        <w:t>Kluwer</w:t>
      </w:r>
      <w:proofErr w:type="spellEnd"/>
      <w:r w:rsidRPr="006403F3">
        <w:rPr>
          <w:rFonts w:ascii="Times New Roman" w:hAnsi="Times New Roman" w:cs="Times New Roman"/>
          <w:sz w:val="24"/>
          <w:szCs w:val="24"/>
        </w:rPr>
        <w:t>.</w:t>
      </w:r>
    </w:p>
    <w:p w14:paraId="6C5B7469"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Por otra parte, el compartimento posterior se encuentra ubicado posterolateral, es decir, hacia atrás y al costado externo del antebrazo, estos músculos se encargan de la extensión de la muñeca y los dedos, así como de la supinación del antebrazo (rotación de la mano de adentro hacia afuera). La acción conjunta de estos músculos permite el movimiento de la mano y la muñeca, así como la realización de agarre, sujeción de objetos en distintas posiciones (ver figura 6) </w:t>
      </w:r>
      <w:sdt>
        <w:sdtPr>
          <w:rPr>
            <w:rFonts w:ascii="Times New Roman" w:hAnsi="Times New Roman" w:cs="Times New Roman"/>
            <w:sz w:val="24"/>
            <w:szCs w:val="24"/>
          </w:rPr>
          <w:id w:val="859636294"/>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p w14:paraId="0B8DCFDE" w14:textId="77777777" w:rsidR="00011F23" w:rsidRPr="006403F3" w:rsidRDefault="00011F23" w:rsidP="00011F23">
      <w:pPr>
        <w:pStyle w:val="Ttulo5"/>
        <w:rPr>
          <w:rFonts w:ascii="Times New Roman" w:hAnsi="Times New Roman" w:cs="Times New Roman"/>
          <w:b/>
          <w:bCs/>
          <w:i/>
          <w:iCs/>
          <w:color w:val="auto"/>
          <w:sz w:val="24"/>
          <w:szCs w:val="24"/>
        </w:rPr>
      </w:pPr>
      <w:bookmarkStart w:id="7" w:name="_Toc159575861"/>
      <w:r w:rsidRPr="006403F3">
        <w:rPr>
          <w:rFonts w:ascii="Times New Roman" w:hAnsi="Times New Roman" w:cs="Times New Roman"/>
          <w:b/>
          <w:bCs/>
          <w:color w:val="auto"/>
          <w:sz w:val="24"/>
          <w:szCs w:val="24"/>
        </w:rPr>
        <w:t>Figura 6</w:t>
      </w:r>
      <w:bookmarkEnd w:id="7"/>
    </w:p>
    <w:p w14:paraId="5A6C2487"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Compartimento posterior del antebrazo</w:t>
      </w:r>
    </w:p>
    <w:p w14:paraId="01C247AE" w14:textId="77777777" w:rsidR="00011F23" w:rsidRPr="006403F3" w:rsidRDefault="00011F23" w:rsidP="00011F23">
      <w:pPr>
        <w:spacing w:before="120" w:after="120" w:line="480" w:lineRule="auto"/>
        <w:jc w:val="center"/>
        <w:rPr>
          <w:rFonts w:ascii="Times New Roman" w:hAnsi="Times New Roman" w:cs="Times New Roman"/>
          <w:sz w:val="24"/>
          <w:szCs w:val="24"/>
        </w:rPr>
      </w:pPr>
      <w:r w:rsidRPr="006403F3">
        <w:rPr>
          <w:b/>
          <w:bCs/>
          <w:noProof/>
          <w:bdr w:val="none" w:sz="0" w:space="0" w:color="auto" w:frame="1"/>
        </w:rPr>
        <w:lastRenderedPageBreak/>
        <w:drawing>
          <wp:inline distT="0" distB="0" distL="0" distR="0" wp14:anchorId="42156DE5" wp14:editId="71B7F766">
            <wp:extent cx="5809942" cy="2971800"/>
            <wp:effectExtent l="0" t="0" r="635" b="0"/>
            <wp:docPr id="2133312369" name="Imagen 213331236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55093" name="Imagen 6" descr="Diagrama&#10;&#10;Descripción generada automáticament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1261"/>
                    <a:stretch/>
                  </pic:blipFill>
                  <pic:spPr bwMode="auto">
                    <a:xfrm>
                      <a:off x="0" y="0"/>
                      <a:ext cx="5853390" cy="2994024"/>
                    </a:xfrm>
                    <a:prstGeom prst="rect">
                      <a:avLst/>
                    </a:prstGeom>
                    <a:noFill/>
                    <a:ln>
                      <a:noFill/>
                    </a:ln>
                    <a:extLst>
                      <a:ext uri="{53640926-AAD7-44D8-BBD7-CCE9431645EC}">
                        <a14:shadowObscured xmlns:a14="http://schemas.microsoft.com/office/drawing/2010/main"/>
                      </a:ext>
                    </a:extLst>
                  </pic:spPr>
                </pic:pic>
              </a:graphicData>
            </a:graphic>
          </wp:inline>
        </w:drawing>
      </w:r>
    </w:p>
    <w:p w14:paraId="1544A2A0" w14:textId="77777777" w:rsidR="00011F23" w:rsidRDefault="00011F23" w:rsidP="00011F23">
      <w:pPr>
        <w:spacing w:before="120" w:after="120" w:line="480" w:lineRule="auto"/>
        <w:jc w:val="center"/>
        <w:rPr>
          <w:rFonts w:ascii="Times New Roman" w:hAnsi="Times New Roman" w:cs="Times New Roman"/>
          <w:sz w:val="24"/>
          <w:szCs w:val="24"/>
        </w:rPr>
      </w:pPr>
      <w:r w:rsidRPr="006403F3">
        <w:rPr>
          <w:rFonts w:ascii="Times New Roman" w:hAnsi="Times New Roman" w:cs="Times New Roman"/>
          <w:i/>
          <w:iCs/>
          <w:sz w:val="24"/>
          <w:szCs w:val="24"/>
        </w:rPr>
        <w:t>Nota.</w:t>
      </w:r>
      <w:r w:rsidRPr="006403F3">
        <w:rPr>
          <w:rFonts w:ascii="Times New Roman" w:hAnsi="Times New Roman" w:cs="Times New Roman"/>
          <w:sz w:val="24"/>
          <w:szCs w:val="24"/>
        </w:rPr>
        <w:t xml:space="preserve"> Adaptado de </w:t>
      </w:r>
      <w:r w:rsidRPr="006403F3">
        <w:rPr>
          <w:rFonts w:ascii="Times New Roman" w:hAnsi="Times New Roman" w:cs="Times New Roman"/>
          <w:i/>
          <w:iCs/>
          <w:sz w:val="24"/>
          <w:szCs w:val="24"/>
        </w:rPr>
        <w:t>Anatomía con orientación clínica</w:t>
      </w:r>
      <w:r w:rsidRPr="006403F3">
        <w:rPr>
          <w:rFonts w:ascii="Times New Roman" w:hAnsi="Times New Roman" w:cs="Times New Roman"/>
          <w:sz w:val="24"/>
          <w:szCs w:val="24"/>
        </w:rPr>
        <w:t xml:space="preserve">, K.L. Moore, 2013, Wolters </w:t>
      </w:r>
      <w:proofErr w:type="spellStart"/>
      <w:r w:rsidRPr="006403F3">
        <w:rPr>
          <w:rFonts w:ascii="Times New Roman" w:hAnsi="Times New Roman" w:cs="Times New Roman"/>
          <w:sz w:val="24"/>
          <w:szCs w:val="24"/>
        </w:rPr>
        <w:t>Kluwer</w:t>
      </w:r>
      <w:proofErr w:type="spellEnd"/>
      <w:r w:rsidRPr="006403F3">
        <w:rPr>
          <w:rFonts w:ascii="Times New Roman" w:hAnsi="Times New Roman" w:cs="Times New Roman"/>
          <w:sz w:val="24"/>
          <w:szCs w:val="24"/>
        </w:rPr>
        <w:t>.</w:t>
      </w:r>
    </w:p>
    <w:p w14:paraId="49F82ED4" w14:textId="77777777" w:rsidR="00011F23" w:rsidRPr="006403F3" w:rsidRDefault="00011F23" w:rsidP="00011F23">
      <w:pPr>
        <w:spacing w:before="120" w:after="120" w:line="480" w:lineRule="auto"/>
        <w:jc w:val="center"/>
        <w:rPr>
          <w:rFonts w:ascii="Times New Roman" w:hAnsi="Times New Roman" w:cs="Times New Roman"/>
          <w:sz w:val="24"/>
          <w:szCs w:val="24"/>
        </w:rPr>
      </w:pPr>
    </w:p>
    <w:p w14:paraId="17B7962F" w14:textId="7CD9CC27" w:rsidR="00011F23" w:rsidRPr="00011F23" w:rsidRDefault="00011F23" w:rsidP="00011F23">
      <w:pPr>
        <w:rPr>
          <w:rFonts w:ascii="Times New Roman" w:hAnsi="Times New Roman" w:cs="Times New Roman"/>
          <w:b/>
          <w:sz w:val="26"/>
          <w:szCs w:val="26"/>
        </w:rPr>
      </w:pPr>
      <w:r>
        <w:rPr>
          <w:rFonts w:ascii="Times New Roman" w:hAnsi="Times New Roman" w:cs="Times New Roman"/>
          <w:b/>
          <w:iCs/>
          <w:sz w:val="26"/>
          <w:szCs w:val="26"/>
        </w:rPr>
        <w:t>Nervios</w:t>
      </w:r>
      <w:r w:rsidRPr="00011F23">
        <w:rPr>
          <w:rFonts w:ascii="Times New Roman" w:hAnsi="Times New Roman" w:cs="Times New Roman"/>
          <w:b/>
          <w:sz w:val="26"/>
          <w:szCs w:val="26"/>
        </w:rPr>
        <w:t xml:space="preserve">: </w:t>
      </w:r>
    </w:p>
    <w:p w14:paraId="24B3725B" w14:textId="77777777" w:rsidR="00011F23" w:rsidRPr="006403F3" w:rsidRDefault="00011F23" w:rsidP="00011F23">
      <w:pPr>
        <w:spacing w:before="120" w:after="120" w:line="480" w:lineRule="auto"/>
        <w:rPr>
          <w:rFonts w:ascii="Times New Roman" w:hAnsi="Times New Roman" w:cs="Times New Roman"/>
          <w:sz w:val="24"/>
          <w:szCs w:val="24"/>
        </w:rPr>
      </w:pPr>
      <w:r w:rsidRPr="006403F3">
        <w:rPr>
          <w:rFonts w:ascii="Times New Roman" w:hAnsi="Times New Roman" w:cs="Times New Roman"/>
          <w:sz w:val="24"/>
          <w:szCs w:val="24"/>
        </w:rPr>
        <w:t xml:space="preserve">El miembro superior recibe su inervación (transmisión de un impulso nervioso a un tejido) de las fibras nerviosas procedentes de la médula espinal entre la quinta vértebra cervical (C5) y la primera vértebra torácica (T1), estas fibras se conectan formando una red nerviosa conocida como plexo braquial que se origina en la axila y se ramifica en diversas partes formando tres nervios principales: radial, mediano y cubital, el nervio mediano inerva la mayoría de los músculos ubicados en el compartimento anterior del antebrazo con los cuales se genera la flexión de la muñeca y los dedos, además de la pronación y el nervio radial se encarga de inervar los músculos que se originan en el compartimento posterior del antebrazo produciendo la extensión de la muñeca y los dedos al igual que la supinación del antebrazo </w:t>
      </w:r>
      <w:sdt>
        <w:sdtPr>
          <w:rPr>
            <w:rFonts w:ascii="Times New Roman" w:hAnsi="Times New Roman" w:cs="Times New Roman"/>
            <w:sz w:val="24"/>
            <w:szCs w:val="24"/>
          </w:rPr>
          <w:id w:val="1909180335"/>
          <w:citation/>
        </w:sdtPr>
        <w:sdtContent>
          <w:r w:rsidRPr="006403F3">
            <w:rPr>
              <w:rFonts w:ascii="Times New Roman" w:hAnsi="Times New Roman" w:cs="Times New Roman"/>
              <w:sz w:val="24"/>
              <w:szCs w:val="24"/>
            </w:rPr>
            <w:fldChar w:fldCharType="begin"/>
          </w:r>
          <w:r w:rsidRPr="006403F3">
            <w:rPr>
              <w:rFonts w:ascii="Times New Roman" w:hAnsi="Times New Roman" w:cs="Times New Roman"/>
              <w:sz w:val="24"/>
              <w:szCs w:val="24"/>
              <w:lang w:val="es-MX"/>
            </w:rPr>
            <w:instrText xml:space="preserve"> CITATION Moo13 \l 2058 </w:instrText>
          </w:r>
          <w:r w:rsidRPr="006403F3">
            <w:rPr>
              <w:rFonts w:ascii="Times New Roman" w:hAnsi="Times New Roman" w:cs="Times New Roman"/>
              <w:sz w:val="24"/>
              <w:szCs w:val="24"/>
            </w:rPr>
            <w:fldChar w:fldCharType="separate"/>
          </w:r>
          <w:r w:rsidRPr="006403F3">
            <w:rPr>
              <w:rFonts w:ascii="Times New Roman" w:hAnsi="Times New Roman" w:cs="Times New Roman"/>
              <w:noProof/>
              <w:sz w:val="24"/>
              <w:szCs w:val="24"/>
              <w:lang w:val="es-MX"/>
            </w:rPr>
            <w:t>(Moore, 2013)</w:t>
          </w:r>
          <w:r w:rsidRPr="006403F3">
            <w:rPr>
              <w:rFonts w:ascii="Times New Roman" w:hAnsi="Times New Roman" w:cs="Times New Roman"/>
              <w:sz w:val="24"/>
              <w:szCs w:val="24"/>
            </w:rPr>
            <w:fldChar w:fldCharType="end"/>
          </w:r>
        </w:sdtContent>
      </w:sdt>
      <w:r w:rsidRPr="006403F3">
        <w:rPr>
          <w:rFonts w:ascii="Times New Roman" w:hAnsi="Times New Roman" w:cs="Times New Roman"/>
          <w:sz w:val="24"/>
          <w:szCs w:val="24"/>
        </w:rPr>
        <w:t>.</w:t>
      </w:r>
    </w:p>
    <w:sdt>
      <w:sdtPr>
        <w:rPr>
          <w:lang w:val="es-ES"/>
        </w:rPr>
        <w:id w:val="615564043"/>
        <w:docPartObj>
          <w:docPartGallery w:val="Bibliographies"/>
          <w:docPartUnique/>
        </w:docPartObj>
      </w:sdtPr>
      <w:sdtEndPr>
        <w:rPr>
          <w:rFonts w:asciiTheme="minorHAnsi" w:eastAsiaTheme="minorHAnsi" w:hAnsiTheme="minorHAnsi" w:cstheme="minorBidi"/>
          <w:color w:val="auto"/>
          <w:sz w:val="22"/>
          <w:szCs w:val="22"/>
          <w:lang w:val="es-CO"/>
        </w:rPr>
      </w:sdtEndPr>
      <w:sdtContent>
        <w:p w14:paraId="72C4E567" w14:textId="7C20D355" w:rsidR="00011F23" w:rsidRDefault="00011F23" w:rsidP="00011F23">
          <w:pPr>
            <w:pStyle w:val="Ttulo1"/>
            <w:jc w:val="center"/>
            <w:rPr>
              <w:rFonts w:ascii="Times New Roman" w:hAnsi="Times New Roman" w:cs="Times New Roman"/>
              <w:b/>
              <w:bCs/>
              <w:color w:val="auto"/>
              <w:sz w:val="24"/>
              <w:szCs w:val="24"/>
              <w:lang w:val="es-ES"/>
            </w:rPr>
          </w:pPr>
          <w:r w:rsidRPr="00011F23">
            <w:rPr>
              <w:rFonts w:ascii="Times New Roman" w:hAnsi="Times New Roman" w:cs="Times New Roman"/>
              <w:b/>
              <w:bCs/>
              <w:color w:val="auto"/>
              <w:sz w:val="24"/>
              <w:szCs w:val="24"/>
              <w:lang w:val="es-ES"/>
            </w:rPr>
            <w:t>Bibliografía</w:t>
          </w:r>
        </w:p>
        <w:p w14:paraId="2FEE1FE0" w14:textId="77777777" w:rsidR="00011F23" w:rsidRPr="00011F23" w:rsidRDefault="00011F23" w:rsidP="00011F23">
          <w:pPr>
            <w:rPr>
              <w:lang w:val="es-ES"/>
            </w:rPr>
          </w:pPr>
        </w:p>
        <w:sdt>
          <w:sdtPr>
            <w:id w:val="111145805"/>
            <w:bibliography/>
          </w:sdtPr>
          <w:sdtContent>
            <w:p w14:paraId="45E1C954" w14:textId="77777777" w:rsidR="00011F23" w:rsidRPr="00011F23" w:rsidRDefault="00011F23" w:rsidP="00011F23">
              <w:pPr>
                <w:pStyle w:val="Bibliografa"/>
                <w:ind w:left="720" w:hanging="720"/>
                <w:rPr>
                  <w:rFonts w:ascii="Times New Roman" w:hAnsi="Times New Roman" w:cs="Times New Roman"/>
                  <w:noProof/>
                  <w:kern w:val="0"/>
                  <w:sz w:val="24"/>
                  <w:szCs w:val="24"/>
                  <w:lang w:val="es-ES"/>
                  <w14:ligatures w14:val="none"/>
                </w:rPr>
              </w:pPr>
              <w:r w:rsidRPr="00011F23">
                <w:rPr>
                  <w:rFonts w:ascii="Times New Roman" w:hAnsi="Times New Roman" w:cs="Times New Roman"/>
                </w:rPr>
                <w:fldChar w:fldCharType="begin"/>
              </w:r>
              <w:r w:rsidRPr="00011F23">
                <w:rPr>
                  <w:rFonts w:ascii="Times New Roman" w:hAnsi="Times New Roman" w:cs="Times New Roman"/>
                </w:rPr>
                <w:instrText>BIBLIOGRAPHY</w:instrText>
              </w:r>
              <w:r w:rsidRPr="00011F23">
                <w:rPr>
                  <w:rFonts w:ascii="Times New Roman" w:hAnsi="Times New Roman" w:cs="Times New Roman"/>
                </w:rPr>
                <w:fldChar w:fldCharType="separate"/>
              </w:r>
              <w:r w:rsidRPr="00011F23">
                <w:rPr>
                  <w:rFonts w:ascii="Times New Roman" w:hAnsi="Times New Roman" w:cs="Times New Roman"/>
                  <w:noProof/>
                  <w:lang w:val="es-ES"/>
                </w:rPr>
                <w:t xml:space="preserve">Moore, K. (2013). </w:t>
              </w:r>
              <w:r w:rsidRPr="00011F23">
                <w:rPr>
                  <w:rFonts w:ascii="Times New Roman" w:hAnsi="Times New Roman" w:cs="Times New Roman"/>
                  <w:i/>
                  <w:iCs/>
                  <w:noProof/>
                  <w:lang w:val="es-ES"/>
                </w:rPr>
                <w:t>Anatomía con orientación clínica</w:t>
              </w:r>
              <w:r w:rsidRPr="00011F23">
                <w:rPr>
                  <w:rFonts w:ascii="Times New Roman" w:hAnsi="Times New Roman" w:cs="Times New Roman"/>
                  <w:noProof/>
                  <w:lang w:val="es-ES"/>
                </w:rPr>
                <w:t xml:space="preserve"> (7ma ed.). Wolters Kluwer.</w:t>
              </w:r>
            </w:p>
            <w:p w14:paraId="4DF2FD0C" w14:textId="5D49A093" w:rsidR="00C02BA4" w:rsidRDefault="00011F23">
              <w:r w:rsidRPr="00011F23">
                <w:rPr>
                  <w:rFonts w:ascii="Times New Roman" w:hAnsi="Times New Roman" w:cs="Times New Roman"/>
                  <w:b/>
                  <w:bCs/>
                </w:rPr>
                <w:fldChar w:fldCharType="end"/>
              </w:r>
            </w:p>
          </w:sdtContent>
        </w:sdt>
      </w:sdtContent>
    </w:sdt>
    <w:sectPr w:rsidR="00C02BA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1F23"/>
    <w:rsid w:val="00011F23"/>
    <w:rsid w:val="00935565"/>
    <w:rsid w:val="00AC21A9"/>
    <w:rsid w:val="00C02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111AD3"/>
  <w15:chartTrackingRefBased/>
  <w15:docId w15:val="{14C82E49-539E-47C0-8E84-54AA688A9F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1F23"/>
    <w:rPr>
      <w:lang w:val="es-CO"/>
    </w:rPr>
  </w:style>
  <w:style w:type="paragraph" w:styleId="Ttulo1">
    <w:name w:val="heading 1"/>
    <w:basedOn w:val="Normal"/>
    <w:next w:val="Normal"/>
    <w:link w:val="Ttulo1Car"/>
    <w:uiPriority w:val="9"/>
    <w:qFormat/>
    <w:rsid w:val="00011F2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unhideWhenUsed/>
    <w:qFormat/>
    <w:rsid w:val="00011F2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011F23"/>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11F23"/>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00011F23"/>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11F23"/>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11F23"/>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11F23"/>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11F23"/>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11F23"/>
    <w:rPr>
      <w:rFonts w:asciiTheme="majorHAnsi" w:eastAsiaTheme="majorEastAsia" w:hAnsiTheme="majorHAnsi" w:cstheme="majorBidi"/>
      <w:color w:val="0F4761" w:themeColor="accent1" w:themeShade="BF"/>
      <w:sz w:val="40"/>
      <w:szCs w:val="40"/>
      <w:lang w:val="es-CO"/>
    </w:rPr>
  </w:style>
  <w:style w:type="character" w:customStyle="1" w:styleId="Ttulo2Car">
    <w:name w:val="Título 2 Car"/>
    <w:basedOn w:val="Fuentedeprrafopredeter"/>
    <w:link w:val="Ttulo2"/>
    <w:uiPriority w:val="9"/>
    <w:rsid w:val="00011F23"/>
    <w:rPr>
      <w:rFonts w:asciiTheme="majorHAnsi" w:eastAsiaTheme="majorEastAsia" w:hAnsiTheme="majorHAnsi" w:cstheme="majorBidi"/>
      <w:color w:val="0F4761" w:themeColor="accent1" w:themeShade="BF"/>
      <w:sz w:val="32"/>
      <w:szCs w:val="32"/>
      <w:lang w:val="es-CO"/>
    </w:rPr>
  </w:style>
  <w:style w:type="character" w:customStyle="1" w:styleId="Ttulo3Car">
    <w:name w:val="Título 3 Car"/>
    <w:basedOn w:val="Fuentedeprrafopredeter"/>
    <w:link w:val="Ttulo3"/>
    <w:uiPriority w:val="9"/>
    <w:rsid w:val="00011F23"/>
    <w:rPr>
      <w:rFonts w:eastAsiaTheme="majorEastAsia" w:cstheme="majorBidi"/>
      <w:color w:val="0F4761" w:themeColor="accent1" w:themeShade="BF"/>
      <w:sz w:val="28"/>
      <w:szCs w:val="28"/>
      <w:lang w:val="es-CO"/>
    </w:rPr>
  </w:style>
  <w:style w:type="character" w:customStyle="1" w:styleId="Ttulo4Car">
    <w:name w:val="Título 4 Car"/>
    <w:basedOn w:val="Fuentedeprrafopredeter"/>
    <w:link w:val="Ttulo4"/>
    <w:uiPriority w:val="9"/>
    <w:semiHidden/>
    <w:rsid w:val="00011F23"/>
    <w:rPr>
      <w:rFonts w:eastAsiaTheme="majorEastAsia" w:cstheme="majorBidi"/>
      <w:i/>
      <w:iCs/>
      <w:color w:val="0F4761" w:themeColor="accent1" w:themeShade="BF"/>
      <w:lang w:val="es-CO"/>
    </w:rPr>
  </w:style>
  <w:style w:type="character" w:customStyle="1" w:styleId="Ttulo5Car">
    <w:name w:val="Título 5 Car"/>
    <w:basedOn w:val="Fuentedeprrafopredeter"/>
    <w:link w:val="Ttulo5"/>
    <w:uiPriority w:val="9"/>
    <w:rsid w:val="00011F23"/>
    <w:rPr>
      <w:rFonts w:eastAsiaTheme="majorEastAsia" w:cstheme="majorBidi"/>
      <w:color w:val="0F4761" w:themeColor="accent1" w:themeShade="BF"/>
      <w:lang w:val="es-CO"/>
    </w:rPr>
  </w:style>
  <w:style w:type="character" w:customStyle="1" w:styleId="Ttulo6Car">
    <w:name w:val="Título 6 Car"/>
    <w:basedOn w:val="Fuentedeprrafopredeter"/>
    <w:link w:val="Ttulo6"/>
    <w:uiPriority w:val="9"/>
    <w:semiHidden/>
    <w:rsid w:val="00011F23"/>
    <w:rPr>
      <w:rFonts w:eastAsiaTheme="majorEastAsia" w:cstheme="majorBidi"/>
      <w:i/>
      <w:iCs/>
      <w:color w:val="595959" w:themeColor="text1" w:themeTint="A6"/>
      <w:lang w:val="es-CO"/>
    </w:rPr>
  </w:style>
  <w:style w:type="character" w:customStyle="1" w:styleId="Ttulo7Car">
    <w:name w:val="Título 7 Car"/>
    <w:basedOn w:val="Fuentedeprrafopredeter"/>
    <w:link w:val="Ttulo7"/>
    <w:uiPriority w:val="9"/>
    <w:semiHidden/>
    <w:rsid w:val="00011F23"/>
    <w:rPr>
      <w:rFonts w:eastAsiaTheme="majorEastAsia" w:cstheme="majorBidi"/>
      <w:color w:val="595959" w:themeColor="text1" w:themeTint="A6"/>
      <w:lang w:val="es-CO"/>
    </w:rPr>
  </w:style>
  <w:style w:type="character" w:customStyle="1" w:styleId="Ttulo8Car">
    <w:name w:val="Título 8 Car"/>
    <w:basedOn w:val="Fuentedeprrafopredeter"/>
    <w:link w:val="Ttulo8"/>
    <w:uiPriority w:val="9"/>
    <w:semiHidden/>
    <w:rsid w:val="00011F23"/>
    <w:rPr>
      <w:rFonts w:eastAsiaTheme="majorEastAsia" w:cstheme="majorBidi"/>
      <w:i/>
      <w:iCs/>
      <w:color w:val="272727" w:themeColor="text1" w:themeTint="D8"/>
      <w:lang w:val="es-CO"/>
    </w:rPr>
  </w:style>
  <w:style w:type="character" w:customStyle="1" w:styleId="Ttulo9Car">
    <w:name w:val="Título 9 Car"/>
    <w:basedOn w:val="Fuentedeprrafopredeter"/>
    <w:link w:val="Ttulo9"/>
    <w:uiPriority w:val="9"/>
    <w:semiHidden/>
    <w:rsid w:val="00011F23"/>
    <w:rPr>
      <w:rFonts w:eastAsiaTheme="majorEastAsia" w:cstheme="majorBidi"/>
      <w:color w:val="272727" w:themeColor="text1" w:themeTint="D8"/>
      <w:lang w:val="es-CO"/>
    </w:rPr>
  </w:style>
  <w:style w:type="paragraph" w:styleId="Ttulo">
    <w:name w:val="Title"/>
    <w:basedOn w:val="Normal"/>
    <w:next w:val="Normal"/>
    <w:link w:val="TtuloCar"/>
    <w:uiPriority w:val="10"/>
    <w:qFormat/>
    <w:rsid w:val="00011F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11F23"/>
    <w:rPr>
      <w:rFonts w:asciiTheme="majorHAnsi" w:eastAsiaTheme="majorEastAsia" w:hAnsiTheme="majorHAnsi" w:cstheme="majorBidi"/>
      <w:spacing w:val="-10"/>
      <w:kern w:val="28"/>
      <w:sz w:val="56"/>
      <w:szCs w:val="56"/>
      <w:lang w:val="es-CO"/>
    </w:rPr>
  </w:style>
  <w:style w:type="paragraph" w:styleId="Subttulo">
    <w:name w:val="Subtitle"/>
    <w:basedOn w:val="Normal"/>
    <w:next w:val="Normal"/>
    <w:link w:val="SubttuloCar"/>
    <w:uiPriority w:val="11"/>
    <w:qFormat/>
    <w:rsid w:val="00011F23"/>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11F23"/>
    <w:rPr>
      <w:rFonts w:eastAsiaTheme="majorEastAsia" w:cstheme="majorBidi"/>
      <w:color w:val="595959" w:themeColor="text1" w:themeTint="A6"/>
      <w:spacing w:val="15"/>
      <w:sz w:val="28"/>
      <w:szCs w:val="28"/>
      <w:lang w:val="es-CO"/>
    </w:rPr>
  </w:style>
  <w:style w:type="paragraph" w:styleId="Cita">
    <w:name w:val="Quote"/>
    <w:basedOn w:val="Normal"/>
    <w:next w:val="Normal"/>
    <w:link w:val="CitaCar"/>
    <w:uiPriority w:val="29"/>
    <w:qFormat/>
    <w:rsid w:val="00011F23"/>
    <w:pPr>
      <w:spacing w:before="160"/>
      <w:jc w:val="center"/>
    </w:pPr>
    <w:rPr>
      <w:i/>
      <w:iCs/>
      <w:color w:val="404040" w:themeColor="text1" w:themeTint="BF"/>
    </w:rPr>
  </w:style>
  <w:style w:type="character" w:customStyle="1" w:styleId="CitaCar">
    <w:name w:val="Cita Car"/>
    <w:basedOn w:val="Fuentedeprrafopredeter"/>
    <w:link w:val="Cita"/>
    <w:uiPriority w:val="29"/>
    <w:rsid w:val="00011F23"/>
    <w:rPr>
      <w:i/>
      <w:iCs/>
      <w:color w:val="404040" w:themeColor="text1" w:themeTint="BF"/>
      <w:lang w:val="es-CO"/>
    </w:rPr>
  </w:style>
  <w:style w:type="paragraph" w:styleId="Prrafodelista">
    <w:name w:val="List Paragraph"/>
    <w:basedOn w:val="Normal"/>
    <w:uiPriority w:val="34"/>
    <w:qFormat/>
    <w:rsid w:val="00011F23"/>
    <w:pPr>
      <w:ind w:left="720"/>
      <w:contextualSpacing/>
    </w:pPr>
  </w:style>
  <w:style w:type="character" w:styleId="nfasisintenso">
    <w:name w:val="Intense Emphasis"/>
    <w:basedOn w:val="Fuentedeprrafopredeter"/>
    <w:uiPriority w:val="21"/>
    <w:qFormat/>
    <w:rsid w:val="00011F23"/>
    <w:rPr>
      <w:i/>
      <w:iCs/>
      <w:color w:val="0F4761" w:themeColor="accent1" w:themeShade="BF"/>
    </w:rPr>
  </w:style>
  <w:style w:type="paragraph" w:styleId="Citadestacada">
    <w:name w:val="Intense Quote"/>
    <w:basedOn w:val="Normal"/>
    <w:next w:val="Normal"/>
    <w:link w:val="CitadestacadaCar"/>
    <w:uiPriority w:val="30"/>
    <w:qFormat/>
    <w:rsid w:val="00011F2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11F23"/>
    <w:rPr>
      <w:i/>
      <w:iCs/>
      <w:color w:val="0F4761" w:themeColor="accent1" w:themeShade="BF"/>
      <w:lang w:val="es-CO"/>
    </w:rPr>
  </w:style>
  <w:style w:type="character" w:styleId="Referenciaintensa">
    <w:name w:val="Intense Reference"/>
    <w:basedOn w:val="Fuentedeprrafopredeter"/>
    <w:uiPriority w:val="32"/>
    <w:qFormat/>
    <w:rsid w:val="00011F23"/>
    <w:rPr>
      <w:b/>
      <w:bCs/>
      <w:smallCaps/>
      <w:color w:val="0F4761" w:themeColor="accent1" w:themeShade="BF"/>
      <w:spacing w:val="5"/>
    </w:rPr>
  </w:style>
  <w:style w:type="character" w:styleId="Refdecomentario">
    <w:name w:val="annotation reference"/>
    <w:basedOn w:val="Fuentedeprrafopredeter"/>
    <w:uiPriority w:val="99"/>
    <w:semiHidden/>
    <w:unhideWhenUsed/>
    <w:rsid w:val="00011F23"/>
    <w:rPr>
      <w:sz w:val="16"/>
      <w:szCs w:val="16"/>
    </w:rPr>
  </w:style>
  <w:style w:type="paragraph" w:styleId="Textocomentario">
    <w:name w:val="annotation text"/>
    <w:basedOn w:val="Normal"/>
    <w:link w:val="TextocomentarioCar"/>
    <w:uiPriority w:val="99"/>
    <w:unhideWhenUsed/>
    <w:rsid w:val="00011F23"/>
    <w:pPr>
      <w:spacing w:line="240" w:lineRule="auto"/>
    </w:pPr>
    <w:rPr>
      <w:sz w:val="20"/>
      <w:szCs w:val="20"/>
    </w:rPr>
  </w:style>
  <w:style w:type="character" w:customStyle="1" w:styleId="TextocomentarioCar">
    <w:name w:val="Texto comentario Car"/>
    <w:basedOn w:val="Fuentedeprrafopredeter"/>
    <w:link w:val="Textocomentario"/>
    <w:uiPriority w:val="99"/>
    <w:rsid w:val="00011F23"/>
    <w:rPr>
      <w:sz w:val="20"/>
      <w:szCs w:val="20"/>
      <w:lang w:val="es-CO"/>
    </w:rPr>
  </w:style>
  <w:style w:type="paragraph" w:styleId="Bibliografa">
    <w:name w:val="Bibliography"/>
    <w:basedOn w:val="Normal"/>
    <w:next w:val="Normal"/>
    <w:uiPriority w:val="37"/>
    <w:unhideWhenUsed/>
    <w:rsid w:val="00011F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15011">
      <w:bodyDiv w:val="1"/>
      <w:marLeft w:val="0"/>
      <w:marRight w:val="0"/>
      <w:marTop w:val="0"/>
      <w:marBottom w:val="0"/>
      <w:divBdr>
        <w:top w:val="none" w:sz="0" w:space="0" w:color="auto"/>
        <w:left w:val="none" w:sz="0" w:space="0" w:color="auto"/>
        <w:bottom w:val="none" w:sz="0" w:space="0" w:color="auto"/>
        <w:right w:val="none" w:sz="0" w:space="0" w:color="auto"/>
      </w:divBdr>
    </w:div>
    <w:div w:id="2098860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Moo13</b:Tag>
    <b:SourceType>Book</b:SourceType>
    <b:Guid>{CC713E12-C190-4FF6-BB31-4DF90FBF4422}</b:Guid>
    <b:Author>
      <b:Author>
        <b:NameList>
          <b:Person>
            <b:Last>Moore</b:Last>
            <b:First>Keith</b:First>
          </b:Person>
        </b:NameList>
      </b:Author>
    </b:Author>
    <b:Title>Anatomía con orientación clínica</b:Title>
    <b:Year>2013</b:Year>
    <b:Publisher>Wolters Kluwer</b:Publisher>
    <b:Edition>7ma</b:Edition>
    <b:RefOrder>1</b:RefOrder>
  </b:Source>
</b:Sources>
</file>

<file path=customXml/itemProps1.xml><?xml version="1.0" encoding="utf-8"?>
<ds:datastoreItem xmlns:ds="http://schemas.openxmlformats.org/officeDocument/2006/customXml" ds:itemID="{372D921A-1B2B-462A-A429-718BA5DF90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811</Words>
  <Characters>4465</Characters>
  <Application>Microsoft Office Word</Application>
  <DocSecurity>0</DocSecurity>
  <Lines>37</Lines>
  <Paragraphs>10</Paragraphs>
  <ScaleCrop>false</ScaleCrop>
  <Company/>
  <LinksUpToDate>false</LinksUpToDate>
  <CharactersWithSpaces>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Sebastian Morales</dc:creator>
  <cp:keywords/>
  <dc:description/>
  <cp:lastModifiedBy>Juan Sebastian Morales</cp:lastModifiedBy>
  <cp:revision>1</cp:revision>
  <dcterms:created xsi:type="dcterms:W3CDTF">2024-02-26T21:36:00Z</dcterms:created>
  <dcterms:modified xsi:type="dcterms:W3CDTF">2024-02-26T21:41:00Z</dcterms:modified>
</cp:coreProperties>
</file>